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8B" w:rsidRPr="0043448B" w:rsidRDefault="0043448B" w:rsidP="001B7DEA">
      <w:pPr>
        <w:spacing w:after="0" w:line="240" w:lineRule="auto"/>
        <w:rPr>
          <w:rFonts w:ascii="Times New Roman" w:hAnsi="Times New Roman" w:cs="Times New Roman"/>
          <w:b/>
          <w:sz w:val="24"/>
          <w:szCs w:val="24"/>
          <w:lang w:val="en-US"/>
        </w:rPr>
      </w:pPr>
    </w:p>
    <w:p w:rsidR="001B7DEA" w:rsidRPr="0043448B" w:rsidRDefault="001B7DEA" w:rsidP="001B7DEA">
      <w:pPr>
        <w:spacing w:after="0" w:line="240" w:lineRule="auto"/>
        <w:rPr>
          <w:rFonts w:ascii="Times New Roman" w:eastAsia="TimesNewRomanPSMT" w:hAnsi="Times New Roman" w:cs="Times New Roman"/>
          <w:sz w:val="24"/>
          <w:szCs w:val="24"/>
        </w:rPr>
      </w:pPr>
      <w:r w:rsidRPr="0043448B">
        <w:rPr>
          <w:rFonts w:ascii="Times New Roman" w:hAnsi="Times New Roman" w:cs="Times New Roman"/>
          <w:b/>
          <w:sz w:val="24"/>
          <w:szCs w:val="24"/>
        </w:rPr>
        <w:t>Наименование на проекта</w:t>
      </w:r>
      <w:r w:rsidRPr="0043448B">
        <w:rPr>
          <w:rFonts w:ascii="Times New Roman" w:hAnsi="Times New Roman" w:cs="Times New Roman"/>
          <w:sz w:val="24"/>
          <w:szCs w:val="24"/>
        </w:rPr>
        <w:t>: „</w:t>
      </w:r>
      <w:r w:rsidRPr="0043448B">
        <w:rPr>
          <w:rFonts w:ascii="Times New Roman" w:hAnsi="Times New Roman" w:cs="Times New Roman"/>
          <w:sz w:val="24"/>
          <w:szCs w:val="24"/>
          <w:shd w:val="clear" w:color="auto" w:fill="FFFFFF"/>
        </w:rPr>
        <w:t>Образование и заетост - за бъдещето на местната общност в Ботевград</w:t>
      </w:r>
      <w:r w:rsidRPr="0043448B">
        <w:rPr>
          <w:rFonts w:ascii="Times New Roman" w:eastAsia="TimesNewRomanPSMT" w:hAnsi="Times New Roman" w:cs="Times New Roman"/>
          <w:sz w:val="24"/>
          <w:szCs w:val="24"/>
        </w:rPr>
        <w:t>”</w:t>
      </w:r>
    </w:p>
    <w:p w:rsidR="001B7DEA" w:rsidRPr="0043448B" w:rsidRDefault="001B7DEA" w:rsidP="001B7DEA">
      <w:pPr>
        <w:spacing w:after="0" w:line="240" w:lineRule="auto"/>
        <w:rPr>
          <w:rFonts w:ascii="Times New Roman" w:eastAsia="TimesNewRomanPSMT" w:hAnsi="Times New Roman" w:cs="Times New Roman"/>
          <w:sz w:val="24"/>
          <w:szCs w:val="24"/>
        </w:rPr>
      </w:pPr>
    </w:p>
    <w:p w:rsidR="001B7DEA" w:rsidRPr="0043448B" w:rsidRDefault="001B7DEA" w:rsidP="001B7DEA">
      <w:pPr>
        <w:spacing w:after="0" w:line="240" w:lineRule="auto"/>
        <w:rPr>
          <w:rFonts w:ascii="Times New Roman" w:hAnsi="Times New Roman" w:cs="Times New Roman"/>
          <w:sz w:val="24"/>
          <w:szCs w:val="24"/>
        </w:rPr>
      </w:pPr>
      <w:r w:rsidRPr="0043448B">
        <w:rPr>
          <w:rFonts w:ascii="Times New Roman" w:eastAsia="TimesNewRomanPSMT" w:hAnsi="Times New Roman" w:cs="Times New Roman"/>
          <w:b/>
          <w:sz w:val="24"/>
          <w:szCs w:val="24"/>
        </w:rPr>
        <w:t>Договор</w:t>
      </w:r>
      <w:r w:rsidRPr="0043448B">
        <w:rPr>
          <w:rFonts w:ascii="Times New Roman" w:eastAsia="TimesNewRomanPSMT" w:hAnsi="Times New Roman" w:cs="Times New Roman"/>
          <w:sz w:val="24"/>
          <w:szCs w:val="24"/>
        </w:rPr>
        <w:t xml:space="preserve">: </w:t>
      </w:r>
      <w:r w:rsidRPr="0043448B">
        <w:rPr>
          <w:rFonts w:ascii="Times New Roman" w:hAnsi="Times New Roman" w:cs="Times New Roman"/>
          <w:sz w:val="24"/>
          <w:szCs w:val="24"/>
        </w:rPr>
        <w:t>№ BG05M9OP001-2.018-002</w:t>
      </w:r>
      <w:r w:rsidRPr="0043448B">
        <w:rPr>
          <w:rFonts w:ascii="Times New Roman" w:hAnsi="Times New Roman" w:cs="Times New Roman"/>
          <w:sz w:val="24"/>
          <w:szCs w:val="24"/>
          <w:lang w:val="ru-RU"/>
        </w:rPr>
        <w:t>8</w:t>
      </w:r>
      <w:r w:rsidRPr="0043448B">
        <w:rPr>
          <w:rFonts w:ascii="Times New Roman" w:hAnsi="Times New Roman" w:cs="Times New Roman"/>
          <w:sz w:val="24"/>
          <w:szCs w:val="24"/>
        </w:rPr>
        <w:t>-C01 по ОП РЧР и № BG05M9OP001-2.018-002</w:t>
      </w:r>
      <w:r w:rsidRPr="0043448B">
        <w:rPr>
          <w:rFonts w:ascii="Times New Roman" w:hAnsi="Times New Roman" w:cs="Times New Roman"/>
          <w:sz w:val="24"/>
          <w:szCs w:val="24"/>
          <w:lang w:val="ru-RU"/>
        </w:rPr>
        <w:t>8</w:t>
      </w:r>
      <w:r w:rsidRPr="0043448B">
        <w:rPr>
          <w:rFonts w:ascii="Times New Roman" w:hAnsi="Times New Roman" w:cs="Times New Roman"/>
          <w:sz w:val="24"/>
          <w:szCs w:val="24"/>
        </w:rPr>
        <w:t>-2014BG05M2OP001-C01 по ОП НОИР</w:t>
      </w:r>
    </w:p>
    <w:p w:rsidR="001B7DEA" w:rsidRPr="0043448B" w:rsidRDefault="0043448B" w:rsidP="0043448B">
      <w:pPr>
        <w:tabs>
          <w:tab w:val="left" w:pos="52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1B7DEA" w:rsidRPr="0043448B" w:rsidRDefault="001B7DEA" w:rsidP="001B7DEA">
      <w:pPr>
        <w:jc w:val="both"/>
        <w:rPr>
          <w:rFonts w:ascii="Times New Roman" w:hAnsi="Times New Roman" w:cs="Times New Roman"/>
          <w:sz w:val="24"/>
          <w:szCs w:val="24"/>
          <w:lang w:val="en-US"/>
        </w:rPr>
      </w:pPr>
      <w:r w:rsidRPr="0043448B">
        <w:rPr>
          <w:rFonts w:ascii="Times New Roman" w:hAnsi="Times New Roman" w:cs="Times New Roman"/>
          <w:b/>
          <w:sz w:val="24"/>
          <w:szCs w:val="24"/>
        </w:rPr>
        <w:t>Бенефициент</w:t>
      </w:r>
      <w:r w:rsidRPr="0043448B">
        <w:rPr>
          <w:rFonts w:ascii="Times New Roman" w:hAnsi="Times New Roman" w:cs="Times New Roman"/>
          <w:sz w:val="24"/>
          <w:szCs w:val="24"/>
        </w:rPr>
        <w:t>: Община Ботевград</w:t>
      </w:r>
    </w:p>
    <w:p w:rsidR="00D930D6" w:rsidRPr="0043448B" w:rsidRDefault="00D930D6" w:rsidP="001B7DEA">
      <w:pPr>
        <w:jc w:val="both"/>
        <w:rPr>
          <w:rFonts w:ascii="Times New Roman" w:hAnsi="Times New Roman" w:cs="Times New Roman"/>
          <w:sz w:val="24"/>
          <w:szCs w:val="24"/>
        </w:rPr>
      </w:pPr>
      <w:r w:rsidRPr="0043448B">
        <w:rPr>
          <w:rFonts w:ascii="Times New Roman" w:hAnsi="Times New Roman" w:cs="Times New Roman"/>
          <w:b/>
          <w:sz w:val="24"/>
          <w:szCs w:val="24"/>
        </w:rPr>
        <w:t>Партньор</w:t>
      </w:r>
      <w:r w:rsidRPr="0043448B">
        <w:rPr>
          <w:rFonts w:ascii="Times New Roman" w:hAnsi="Times New Roman" w:cs="Times New Roman"/>
          <w:sz w:val="24"/>
          <w:szCs w:val="24"/>
        </w:rPr>
        <w:t>: Фондация „Социални норми”</w:t>
      </w:r>
    </w:p>
    <w:p w:rsidR="001B7DEA" w:rsidRPr="0043448B" w:rsidRDefault="001B7DEA" w:rsidP="001B7DEA">
      <w:pPr>
        <w:spacing w:after="0" w:line="240" w:lineRule="auto"/>
        <w:rPr>
          <w:rFonts w:ascii="Times New Roman" w:hAnsi="Times New Roman" w:cs="Times New Roman"/>
          <w:sz w:val="24"/>
          <w:szCs w:val="24"/>
        </w:rPr>
      </w:pPr>
      <w:r w:rsidRPr="0043448B">
        <w:rPr>
          <w:rFonts w:ascii="Times New Roman" w:hAnsi="Times New Roman" w:cs="Times New Roman"/>
          <w:b/>
          <w:sz w:val="24"/>
          <w:szCs w:val="24"/>
        </w:rPr>
        <w:t>Срок на изпълнение</w:t>
      </w:r>
      <w:r w:rsidRPr="0043448B">
        <w:rPr>
          <w:rFonts w:ascii="Times New Roman" w:hAnsi="Times New Roman" w:cs="Times New Roman"/>
          <w:sz w:val="24"/>
          <w:szCs w:val="24"/>
        </w:rPr>
        <w:t>: 27.02.2019г. – 31.12.2020г.</w:t>
      </w:r>
    </w:p>
    <w:p w:rsidR="0043448B" w:rsidRPr="0043448B" w:rsidRDefault="0043448B" w:rsidP="0043448B">
      <w:pPr>
        <w:rPr>
          <w:rFonts w:ascii="Times New Roman" w:hAnsi="Times New Roman" w:cs="Times New Roman"/>
          <w:b/>
          <w:sz w:val="24"/>
          <w:szCs w:val="24"/>
        </w:rPr>
      </w:pPr>
    </w:p>
    <w:p w:rsidR="001B7DEA" w:rsidRPr="0043448B" w:rsidRDefault="0043448B" w:rsidP="0043448B">
      <w:pPr>
        <w:rPr>
          <w:rFonts w:ascii="Times New Roman" w:hAnsi="Times New Roman" w:cs="Times New Roman"/>
          <w:b/>
          <w:sz w:val="24"/>
          <w:szCs w:val="24"/>
        </w:rPr>
      </w:pPr>
      <w:r w:rsidRPr="0043448B">
        <w:rPr>
          <w:rFonts w:ascii="Times New Roman" w:hAnsi="Times New Roman" w:cs="Times New Roman"/>
          <w:b/>
          <w:sz w:val="24"/>
          <w:szCs w:val="24"/>
        </w:rPr>
        <w:t>Стойност на договора</w:t>
      </w:r>
      <w:r w:rsidRPr="0043448B">
        <w:rPr>
          <w:rFonts w:ascii="Times New Roman" w:hAnsi="Times New Roman" w:cs="Times New Roman"/>
          <w:sz w:val="24"/>
          <w:szCs w:val="24"/>
        </w:rPr>
        <w:t>:</w:t>
      </w:r>
      <w:r w:rsidRPr="0043448B">
        <w:rPr>
          <w:rFonts w:ascii="Times New Roman" w:hAnsi="Times New Roman" w:cs="Times New Roman"/>
          <w:sz w:val="24"/>
          <w:szCs w:val="24"/>
          <w:shd w:val="clear" w:color="auto" w:fill="FFFFFF"/>
        </w:rPr>
        <w:t xml:space="preserve"> </w:t>
      </w:r>
      <w:r w:rsidRPr="0043448B">
        <w:rPr>
          <w:rStyle w:val="Strong"/>
          <w:rFonts w:ascii="Times New Roman" w:hAnsi="Times New Roman" w:cs="Times New Roman"/>
          <w:b w:val="0"/>
          <w:sz w:val="24"/>
          <w:szCs w:val="24"/>
          <w:shd w:val="clear" w:color="auto" w:fill="FFFFFF"/>
        </w:rPr>
        <w:t>887 532.90</w:t>
      </w:r>
      <w:r w:rsidRPr="0043448B">
        <w:rPr>
          <w:rFonts w:ascii="Times New Roman" w:hAnsi="Times New Roman" w:cs="Times New Roman"/>
          <w:sz w:val="24"/>
          <w:szCs w:val="24"/>
          <w:shd w:val="clear" w:color="auto" w:fill="FFFFFF"/>
        </w:rPr>
        <w:t> лева, от които  497 550.00  лева по ОП РЧР / в т.ч 422 917.50 лева европейско финансиране и 74 632.50 национално финансиране/ и 389 982.90 лева по ОП НОИР /в т.ч 331 485.47 лева европейско финансиране и 58 497.43 лева национално финансиране/.</w:t>
      </w:r>
    </w:p>
    <w:p w:rsidR="001B7DEA" w:rsidRPr="0043448B" w:rsidRDefault="001B7DEA" w:rsidP="001B7DEA">
      <w:pPr>
        <w:autoSpaceDE w:val="0"/>
        <w:autoSpaceDN w:val="0"/>
        <w:adjustRightInd w:val="0"/>
        <w:spacing w:after="0" w:line="240" w:lineRule="auto"/>
        <w:rPr>
          <w:rFonts w:ascii="Times New Roman" w:hAnsi="Times New Roman" w:cs="Times New Roman"/>
          <w:sz w:val="24"/>
          <w:szCs w:val="24"/>
        </w:rPr>
      </w:pPr>
      <w:r w:rsidRPr="0043448B">
        <w:rPr>
          <w:rFonts w:ascii="Times New Roman" w:hAnsi="Times New Roman" w:cs="Times New Roman"/>
          <w:b/>
          <w:sz w:val="24"/>
          <w:szCs w:val="24"/>
        </w:rPr>
        <w:t>Процедура</w:t>
      </w:r>
      <w:r w:rsidRPr="0043448B">
        <w:rPr>
          <w:rFonts w:ascii="Times New Roman" w:hAnsi="Times New Roman" w:cs="Times New Roman"/>
          <w:sz w:val="24"/>
          <w:szCs w:val="24"/>
        </w:rPr>
        <w:t xml:space="preserve">: </w:t>
      </w:r>
      <w:r w:rsidRPr="0043448B">
        <w:rPr>
          <w:rFonts w:ascii="Times New Roman" w:eastAsia="CIDFont+F2" w:hAnsi="Times New Roman" w:cs="Times New Roman"/>
          <w:sz w:val="24"/>
          <w:szCs w:val="24"/>
        </w:rPr>
        <w:t>BG05M9OP001-2.018</w:t>
      </w:r>
      <w:r w:rsidRPr="0043448B">
        <w:rPr>
          <w:rFonts w:ascii="Times New Roman" w:hAnsi="Times New Roman" w:cs="Times New Roman"/>
          <w:sz w:val="24"/>
          <w:szCs w:val="24"/>
        </w:rPr>
        <w:t xml:space="preserve"> „СОЦИАЛНО-ИКОНОМИЧЕСКА ИНТЕГРАЦИЯ НА УЯЗВИМИ ГРУПИ. ИНТЕГРИРАНИ МЕРКИ ЗА ПОДОБРЯВАНЕ ДОСТЪПА ДО ОБРАЗОВАНИЕ“ – КОМПОНЕНТ 1</w:t>
      </w:r>
    </w:p>
    <w:p w:rsidR="001B7DEA" w:rsidRPr="0043448B" w:rsidRDefault="001B7DEA" w:rsidP="001B7DEA">
      <w:pPr>
        <w:autoSpaceDE w:val="0"/>
        <w:autoSpaceDN w:val="0"/>
        <w:adjustRightInd w:val="0"/>
        <w:spacing w:after="0" w:line="240" w:lineRule="auto"/>
        <w:rPr>
          <w:rFonts w:ascii="Times New Roman" w:hAnsi="Times New Roman" w:cs="Times New Roman"/>
          <w:sz w:val="24"/>
          <w:szCs w:val="24"/>
          <w:lang w:val="en-US"/>
        </w:rPr>
      </w:pPr>
    </w:p>
    <w:p w:rsidR="0043448B" w:rsidRPr="0043448B" w:rsidRDefault="0043448B" w:rsidP="0043448B">
      <w:pPr>
        <w:spacing w:after="0" w:line="240" w:lineRule="auto"/>
        <w:jc w:val="both"/>
        <w:rPr>
          <w:rFonts w:ascii="Times New Roman" w:hAnsi="Times New Roman" w:cs="Times New Roman"/>
          <w:sz w:val="24"/>
          <w:szCs w:val="24"/>
          <w:shd w:val="clear" w:color="auto" w:fill="FFFFFF"/>
        </w:rPr>
      </w:pPr>
      <w:r w:rsidRPr="0043448B">
        <w:rPr>
          <w:rFonts w:ascii="Times New Roman" w:hAnsi="Times New Roman" w:cs="Times New Roman"/>
          <w:b/>
          <w:sz w:val="24"/>
          <w:szCs w:val="24"/>
        </w:rPr>
        <w:t>Цели на проекта</w:t>
      </w:r>
      <w:r w:rsidRPr="0043448B">
        <w:rPr>
          <w:rFonts w:ascii="Times New Roman" w:hAnsi="Times New Roman" w:cs="Times New Roman"/>
          <w:sz w:val="24"/>
          <w:szCs w:val="24"/>
        </w:rPr>
        <w:t>:</w:t>
      </w:r>
      <w:r w:rsidRPr="0043448B">
        <w:rPr>
          <w:rFonts w:ascii="Times New Roman" w:hAnsi="Times New Roman" w:cs="Times New Roman"/>
          <w:sz w:val="24"/>
          <w:szCs w:val="24"/>
          <w:shd w:val="clear" w:color="auto" w:fill="FFFFFF"/>
        </w:rPr>
        <w:t xml:space="preserve"> Подобряване качеството на живот, насърчаване социалното включване, намаляване на бедността, трайна интеграция на най-маргинализираните общности, вкл. ромите чрез реализацията на комплексни мерки и прилагането на интегриран подход. Очаква се предоставеният „социален пакет” от мерки да допринесе за намаляване броя на отпадащите от образованието, осигуряване на достъп до пазара на труда, утвърждаване предоставянето на качествени социални и здравни услуги за лица в риск.  </w:t>
      </w:r>
    </w:p>
    <w:p w:rsidR="0043448B" w:rsidRPr="0043448B" w:rsidRDefault="0043448B" w:rsidP="0043448B">
      <w:pPr>
        <w:pStyle w:val="NormalWeb"/>
        <w:shd w:val="clear" w:color="auto" w:fill="FFFFFF"/>
        <w:spacing w:before="0" w:beforeAutospacing="0" w:after="0" w:afterAutospacing="0"/>
        <w:ind w:left="-142" w:right="203" w:firstLine="142"/>
        <w:jc w:val="both"/>
      </w:pPr>
      <w:r w:rsidRPr="0043448B">
        <w:rPr>
          <w:rStyle w:val="Strong"/>
        </w:rPr>
        <w:t>СПЕЦИФИЧНИ ЦЕЛИ:</w:t>
      </w:r>
    </w:p>
    <w:p w:rsidR="0043448B" w:rsidRPr="0043448B" w:rsidRDefault="0043448B" w:rsidP="0043448B">
      <w:pPr>
        <w:pStyle w:val="NormalWeb"/>
        <w:shd w:val="clear" w:color="auto" w:fill="FFFFFF"/>
        <w:spacing w:before="0" w:beforeAutospacing="0" w:after="0" w:afterAutospacing="0"/>
        <w:ind w:left="-142" w:right="203" w:firstLine="142"/>
        <w:jc w:val="both"/>
      </w:pPr>
      <w:r w:rsidRPr="0043448B">
        <w:t>- Увеличаване броя на лицата от уязвими етнически общности, включени в заетост, образование, обучение, социални и здравни услуги с фокус върху ромите.</w:t>
      </w:r>
    </w:p>
    <w:p w:rsidR="0043448B" w:rsidRPr="0043448B" w:rsidRDefault="0043448B" w:rsidP="0043448B">
      <w:pPr>
        <w:pStyle w:val="NormalWeb"/>
        <w:shd w:val="clear" w:color="auto" w:fill="FFFFFF"/>
        <w:spacing w:before="0" w:beforeAutospacing="0" w:after="0" w:afterAutospacing="0"/>
        <w:jc w:val="both"/>
      </w:pPr>
      <w:r w:rsidRPr="0043448B">
        <w:t> - Повишаване броя на успешно интегрираните чрез образователната система деца и ученици от маргинализирани общности, включително роми.</w:t>
      </w:r>
    </w:p>
    <w:p w:rsidR="0043448B" w:rsidRPr="0043448B" w:rsidRDefault="0043448B" w:rsidP="0043448B">
      <w:pPr>
        <w:pStyle w:val="NormalWeb"/>
        <w:shd w:val="clear" w:color="auto" w:fill="FFFFFF"/>
        <w:spacing w:before="0" w:beforeAutospacing="0" w:after="0" w:afterAutospacing="0"/>
        <w:jc w:val="both"/>
      </w:pPr>
      <w:r w:rsidRPr="0043448B">
        <w:t> - Подобряване на достъпа на уязвимите групи да пазара на труда и повишаване на дела на заетите сред тях.</w:t>
      </w:r>
    </w:p>
    <w:p w:rsidR="0043448B" w:rsidRPr="0043448B" w:rsidRDefault="0043448B" w:rsidP="0043448B">
      <w:pPr>
        <w:pStyle w:val="NormalWeb"/>
        <w:shd w:val="clear" w:color="auto" w:fill="FFFFFF"/>
        <w:spacing w:before="0" w:beforeAutospacing="0" w:after="0" w:afterAutospacing="0"/>
        <w:jc w:val="both"/>
      </w:pPr>
      <w:r w:rsidRPr="0043448B">
        <w:t>  - Прилагане на целенасочен интегриран подход към лицата в уязвимо положение, който се прилага в рамките на по-общата стратегия за борба с бедността и изключването.</w:t>
      </w:r>
    </w:p>
    <w:p w:rsidR="0043448B" w:rsidRPr="0043448B" w:rsidRDefault="0043448B" w:rsidP="0043448B">
      <w:pPr>
        <w:pStyle w:val="NormalWeb"/>
        <w:shd w:val="clear" w:color="auto" w:fill="FFFFFF"/>
        <w:spacing w:before="0" w:beforeAutospacing="0" w:after="0" w:afterAutospacing="0"/>
        <w:jc w:val="both"/>
      </w:pPr>
      <w:r w:rsidRPr="0043448B">
        <w:t> - Осигуряване на качествено образование в мултикултурна образователна среда.</w:t>
      </w:r>
    </w:p>
    <w:p w:rsidR="0043448B" w:rsidRPr="0043448B" w:rsidRDefault="0043448B" w:rsidP="0043448B">
      <w:pPr>
        <w:pStyle w:val="NormalWeb"/>
        <w:shd w:val="clear" w:color="auto" w:fill="FFFFFF"/>
        <w:spacing w:before="0" w:beforeAutospacing="0" w:after="0" w:afterAutospacing="0"/>
        <w:jc w:val="both"/>
      </w:pPr>
      <w:r w:rsidRPr="0043448B">
        <w:t> - Утвърждаване принципите на партньорство, равнопоставеност и равно участие чрез делегиране на права, присъединяване на граждански структури и други форми на сътрудничество.</w:t>
      </w:r>
    </w:p>
    <w:p w:rsidR="0043448B" w:rsidRPr="0043448B" w:rsidRDefault="0043448B" w:rsidP="0043448B">
      <w:pPr>
        <w:pStyle w:val="NormalWeb"/>
        <w:shd w:val="clear" w:color="auto" w:fill="FFFFFF"/>
        <w:spacing w:before="0" w:beforeAutospacing="0" w:after="0" w:afterAutospacing="0"/>
        <w:jc w:val="both"/>
      </w:pPr>
      <w:r w:rsidRPr="0043448B">
        <w:t> - Подобрява взаимоотношенията семейство-образователна институция.</w:t>
      </w:r>
    </w:p>
    <w:p w:rsidR="0043448B" w:rsidRPr="0043448B" w:rsidRDefault="0043448B">
      <w:pPr>
        <w:rPr>
          <w:rFonts w:ascii="Times New Roman" w:hAnsi="Times New Roman" w:cs="Times New Roman"/>
          <w:sz w:val="24"/>
          <w:szCs w:val="24"/>
        </w:rPr>
      </w:pPr>
    </w:p>
    <w:sectPr w:rsidR="0043448B" w:rsidRPr="0043448B" w:rsidSect="0043448B">
      <w:headerReference w:type="default" r:id="rId6"/>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F05" w:rsidRDefault="00BD0F05" w:rsidP="001D4A51">
      <w:pPr>
        <w:spacing w:after="0" w:line="240" w:lineRule="auto"/>
      </w:pPr>
      <w:r>
        <w:separator/>
      </w:r>
    </w:p>
  </w:endnote>
  <w:endnote w:type="continuationSeparator" w:id="1">
    <w:p w:rsidR="00BD0F05" w:rsidRDefault="00BD0F05" w:rsidP="001D4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F05" w:rsidRDefault="00BD0F05" w:rsidP="001D4A51">
      <w:pPr>
        <w:spacing w:after="0" w:line="240" w:lineRule="auto"/>
      </w:pPr>
      <w:r>
        <w:separator/>
      </w:r>
    </w:p>
  </w:footnote>
  <w:footnote w:type="continuationSeparator" w:id="1">
    <w:p w:rsidR="00BD0F05" w:rsidRDefault="00BD0F05" w:rsidP="001D4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8B" w:rsidRDefault="0043448B" w:rsidP="001D4A51">
    <w:pPr>
      <w:pStyle w:val="Footer"/>
      <w:jc w:val="center"/>
      <w:rPr>
        <w:rFonts w:ascii="Times New Roman" w:hAnsi="Times New Roman" w:cs="Times New Roman"/>
        <w:bCs/>
        <w:iCs/>
        <w:sz w:val="16"/>
        <w:szCs w:val="16"/>
      </w:rPr>
    </w:pPr>
    <w:r>
      <w:rPr>
        <w:rFonts w:ascii="Times New Roman" w:hAnsi="Times New Roman" w:cs="Times New Roman"/>
        <w:bCs/>
        <w:iCs/>
        <w:noProof/>
        <w:sz w:val="16"/>
        <w:szCs w:val="16"/>
      </w:rPr>
      <w:drawing>
        <wp:anchor distT="0" distB="0" distL="114300" distR="114300" simplePos="0" relativeHeight="251659264" behindDoc="0" locked="0" layoutInCell="1" allowOverlap="1">
          <wp:simplePos x="0" y="0"/>
          <wp:positionH relativeFrom="margin">
            <wp:posOffset>5596255</wp:posOffset>
          </wp:positionH>
          <wp:positionV relativeFrom="margin">
            <wp:posOffset>-1492250</wp:posOffset>
          </wp:positionV>
          <wp:extent cx="800100" cy="781050"/>
          <wp:effectExtent l="19050" t="0" r="0" b="0"/>
          <wp:wrapSquare wrapText="bothSides"/>
          <wp:docPr id="2" name="Picture 2" descr="logo-bg-center-no-b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bg-center-no-back"/>
                  <pic:cNvPicPr preferRelativeResize="0">
                    <a:picLocks noChangeArrowheads="1"/>
                  </pic:cNvPicPr>
                </pic:nvPicPr>
                <pic:blipFill>
                  <a:blip r:embed="rId1"/>
                  <a:srcRect/>
                  <a:stretch>
                    <a:fillRect/>
                  </a:stretch>
                </pic:blipFill>
                <pic:spPr bwMode="auto">
                  <a:xfrm>
                    <a:off x="0" y="0"/>
                    <a:ext cx="800100" cy="781050"/>
                  </a:xfrm>
                  <a:prstGeom prst="rect">
                    <a:avLst/>
                  </a:prstGeom>
                  <a:noFill/>
                  <a:ln w="9525">
                    <a:noFill/>
                    <a:miter lim="800000"/>
                    <a:headEnd/>
                    <a:tailEnd/>
                  </a:ln>
                </pic:spPr>
              </pic:pic>
            </a:graphicData>
          </a:graphic>
        </wp:anchor>
      </w:drawing>
    </w:r>
    <w:r>
      <w:rPr>
        <w:rFonts w:ascii="Times New Roman" w:hAnsi="Times New Roman" w:cs="Times New Roman"/>
        <w:bCs/>
        <w:iCs/>
        <w:noProof/>
        <w:sz w:val="16"/>
        <w:szCs w:val="16"/>
      </w:rPr>
      <w:drawing>
        <wp:anchor distT="0" distB="0" distL="114300" distR="114300" simplePos="0" relativeHeight="251658240" behindDoc="0" locked="0" layoutInCell="1" allowOverlap="1">
          <wp:simplePos x="0" y="0"/>
          <wp:positionH relativeFrom="margin">
            <wp:posOffset>-747395</wp:posOffset>
          </wp:positionH>
          <wp:positionV relativeFrom="margin">
            <wp:posOffset>-1549400</wp:posOffset>
          </wp:positionV>
          <wp:extent cx="981075" cy="838200"/>
          <wp:effectExtent l="0" t="0" r="0" b="0"/>
          <wp:wrapSquare wrapText="bothSides"/>
          <wp:docPr id="1" name="Картин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8"/>
                  <pic:cNvPicPr preferRelativeResize="0">
                    <a:picLocks noChangeArrowheads="1"/>
                  </pic:cNvPicPr>
                </pic:nvPicPr>
                <pic:blipFill>
                  <a:blip r:embed="rId2"/>
                  <a:srcRect l="18146"/>
                  <a:stretch>
                    <a:fillRect/>
                  </a:stretch>
                </pic:blipFill>
                <pic:spPr bwMode="auto">
                  <a:xfrm>
                    <a:off x="0" y="0"/>
                    <a:ext cx="981075" cy="838200"/>
                  </a:xfrm>
                  <a:prstGeom prst="rect">
                    <a:avLst/>
                  </a:prstGeom>
                  <a:noFill/>
                  <a:ln w="9525">
                    <a:noFill/>
                    <a:miter lim="800000"/>
                    <a:headEnd/>
                    <a:tailEnd/>
                  </a:ln>
                </pic:spPr>
              </pic:pic>
            </a:graphicData>
          </a:graphic>
        </wp:anchor>
      </w:drawing>
    </w:r>
    <w:r w:rsidRPr="0043448B">
      <w:rPr>
        <w:rFonts w:ascii="Times New Roman" w:hAnsi="Times New Roman" w:cs="Times New Roman"/>
        <w:bCs/>
        <w:iCs/>
        <w:sz w:val="16"/>
        <w:szCs w:val="16"/>
      </w:rPr>
      <w:drawing>
        <wp:inline distT="0" distB="0" distL="0" distR="0">
          <wp:extent cx="1133475" cy="581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133475" cy="581025"/>
                  </a:xfrm>
                  <a:prstGeom prst="rect">
                    <a:avLst/>
                  </a:prstGeom>
                  <a:noFill/>
                  <a:ln w="9525">
                    <a:noFill/>
                    <a:miter lim="800000"/>
                    <a:headEnd/>
                    <a:tailEnd/>
                  </a:ln>
                </pic:spPr>
              </pic:pic>
            </a:graphicData>
          </a:graphic>
        </wp:inline>
      </w:drawing>
    </w:r>
  </w:p>
  <w:p w:rsidR="0043448B" w:rsidRDefault="0043448B" w:rsidP="001D4A51">
    <w:pPr>
      <w:pStyle w:val="Footer"/>
      <w:jc w:val="center"/>
      <w:rPr>
        <w:rFonts w:ascii="Times New Roman" w:hAnsi="Times New Roman" w:cs="Times New Roman"/>
        <w:bCs/>
        <w:iCs/>
        <w:sz w:val="16"/>
        <w:szCs w:val="16"/>
      </w:rPr>
    </w:pPr>
  </w:p>
  <w:p w:rsidR="0043448B" w:rsidRDefault="0043448B" w:rsidP="001D4A51">
    <w:pPr>
      <w:pStyle w:val="Footer"/>
      <w:jc w:val="center"/>
      <w:rPr>
        <w:rFonts w:ascii="Times New Roman" w:hAnsi="Times New Roman" w:cs="Times New Roman"/>
        <w:bCs/>
        <w:iCs/>
        <w:sz w:val="16"/>
        <w:szCs w:val="16"/>
      </w:rPr>
    </w:pPr>
  </w:p>
  <w:p w:rsidR="001D4A51" w:rsidRPr="000025B3" w:rsidRDefault="001D4A51" w:rsidP="001D4A51">
    <w:pPr>
      <w:pStyle w:val="Footer"/>
      <w:jc w:val="center"/>
      <w:rPr>
        <w:rFonts w:ascii="Times New Roman" w:hAnsi="Times New Roman" w:cs="Times New Roman"/>
        <w:bCs/>
        <w:iCs/>
        <w:sz w:val="16"/>
        <w:szCs w:val="16"/>
      </w:rPr>
    </w:pPr>
    <w:r w:rsidRPr="000025B3">
      <w:rPr>
        <w:rFonts w:ascii="Times New Roman" w:hAnsi="Times New Roman" w:cs="Times New Roman"/>
        <w:bCs/>
        <w:iCs/>
        <w:sz w:val="16"/>
        <w:szCs w:val="16"/>
      </w:rPr>
      <w:t xml:space="preserve">Проектът се осъществява с финансовата подкрепа на </w:t>
    </w:r>
    <w:r w:rsidRPr="000025B3">
      <w:rPr>
        <w:rFonts w:ascii="Times New Roman" w:hAnsi="Times New Roman" w:cs="Times New Roman"/>
        <w:spacing w:val="1"/>
        <w:sz w:val="16"/>
        <w:szCs w:val="16"/>
      </w:rPr>
      <w:t>Оперативна програма „Наука и образование за интелигентен растеж“ BG05M9OP001-2.018-0028-2014</w:t>
    </w:r>
    <w:r w:rsidRPr="000025B3">
      <w:rPr>
        <w:rFonts w:ascii="Times New Roman" w:hAnsi="Times New Roman" w:cs="Times New Roman"/>
        <w:spacing w:val="1"/>
        <w:sz w:val="16"/>
        <w:szCs w:val="16"/>
        <w:lang w:val="en-US"/>
      </w:rPr>
      <w:t>BG05M2OP001-C01  -</w:t>
    </w:r>
    <w:r w:rsidRPr="000025B3">
      <w:rPr>
        <w:rFonts w:ascii="Times New Roman" w:hAnsi="Times New Roman" w:cs="Times New Roman"/>
        <w:spacing w:val="1"/>
        <w:sz w:val="16"/>
        <w:szCs w:val="16"/>
      </w:rPr>
      <w:t>„</w:t>
    </w:r>
    <w:r w:rsidRPr="000025B3">
      <w:rPr>
        <w:rFonts w:ascii="Times New Roman" w:hAnsi="Times New Roman" w:cs="Times New Roman"/>
        <w:sz w:val="16"/>
        <w:szCs w:val="16"/>
        <w:shd w:val="clear" w:color="auto" w:fill="FFFFFF"/>
      </w:rPr>
      <w:t>Образование и заетост - за бъдещето на местната общност в Ботевград</w:t>
    </w:r>
    <w:r w:rsidRPr="000025B3">
      <w:rPr>
        <w:rFonts w:ascii="Times New Roman" w:hAnsi="Times New Roman" w:cs="Times New Roman"/>
        <w:spacing w:val="1"/>
        <w:sz w:val="16"/>
        <w:szCs w:val="16"/>
      </w:rPr>
      <w:t>” по процедура BG05M9OP001-2.018 “Социално-икономическа интеграция на уязвими групи. Интегрирани мерки за подобряване достъпа до образование“ - Компонент 1.</w:t>
    </w:r>
  </w:p>
  <w:p w:rsidR="001D4A51" w:rsidRDefault="001D4A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1D4A51"/>
    <w:rsid w:val="000025B3"/>
    <w:rsid w:val="0010658B"/>
    <w:rsid w:val="0011196A"/>
    <w:rsid w:val="001B7DEA"/>
    <w:rsid w:val="001D4A51"/>
    <w:rsid w:val="002C1013"/>
    <w:rsid w:val="0043448B"/>
    <w:rsid w:val="006D18BD"/>
    <w:rsid w:val="008F3A27"/>
    <w:rsid w:val="00900EA3"/>
    <w:rsid w:val="00972A1B"/>
    <w:rsid w:val="00AD78B0"/>
    <w:rsid w:val="00BA60FA"/>
    <w:rsid w:val="00BD0F05"/>
    <w:rsid w:val="00C75CCB"/>
    <w:rsid w:val="00CE013C"/>
    <w:rsid w:val="00D930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A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4A51"/>
  </w:style>
  <w:style w:type="paragraph" w:styleId="Footer">
    <w:name w:val="footer"/>
    <w:basedOn w:val="Normal"/>
    <w:link w:val="FooterChar"/>
    <w:uiPriority w:val="99"/>
    <w:semiHidden/>
    <w:unhideWhenUsed/>
    <w:rsid w:val="001D4A5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4A51"/>
  </w:style>
  <w:style w:type="character" w:styleId="Strong">
    <w:name w:val="Strong"/>
    <w:basedOn w:val="DefaultParagraphFont"/>
    <w:uiPriority w:val="22"/>
    <w:qFormat/>
    <w:rsid w:val="001B7DEA"/>
    <w:rPr>
      <w:b/>
      <w:bCs/>
    </w:rPr>
  </w:style>
  <w:style w:type="paragraph" w:styleId="NormalWeb">
    <w:name w:val="Normal (Web)"/>
    <w:basedOn w:val="Normal"/>
    <w:uiPriority w:val="99"/>
    <w:semiHidden/>
    <w:unhideWhenUsed/>
    <w:rsid w:val="00434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6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1818</Characters>
  <Application>Microsoft Office Word</Application>
  <DocSecurity>0</DocSecurity>
  <Lines>15</Lines>
  <Paragraphs>4</Paragraphs>
  <ScaleCrop>false</ScaleCrop>
  <Company>Grizli777</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Tzonka</dc:creator>
  <cp:keywords/>
  <dc:description/>
  <cp:lastModifiedBy>Потребител на Windows</cp:lastModifiedBy>
  <cp:revision>7</cp:revision>
  <dcterms:created xsi:type="dcterms:W3CDTF">2019-05-14T04:08:00Z</dcterms:created>
  <dcterms:modified xsi:type="dcterms:W3CDTF">2019-08-04T12:51:00Z</dcterms:modified>
</cp:coreProperties>
</file>